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4EA3FF3A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E377E3">
        <w:rPr>
          <w:rFonts w:cs="Arial"/>
          <w:b/>
          <w:lang w:val="sr-Cyrl-RS"/>
        </w:rPr>
        <w:t>83</w:t>
      </w:r>
      <w:bookmarkStart w:id="1" w:name="_GoBack"/>
      <w:bookmarkEnd w:id="1"/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4F1A8BC3" w14:textId="63BFB298" w:rsidR="00636285" w:rsidRPr="00E377E3" w:rsidRDefault="007070AC" w:rsidP="001A4316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>Изградња комплекса при</w:t>
      </w:r>
      <w:r w:rsidR="00E377E3">
        <w:rPr>
          <w:rFonts w:cs="Arial"/>
          <w:b/>
          <w:lang w:val="sr-Cyrl-RS"/>
        </w:rPr>
        <w:t>хватилишта за псе и санацији платоа Дома културе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587F1C"/>
    <w:rsid w:val="00636285"/>
    <w:rsid w:val="007070AC"/>
    <w:rsid w:val="00767B5D"/>
    <w:rsid w:val="00985FD6"/>
    <w:rsid w:val="009B51B7"/>
    <w:rsid w:val="00AC6FB6"/>
    <w:rsid w:val="00C36979"/>
    <w:rsid w:val="00C51F8D"/>
    <w:rsid w:val="00CC4217"/>
    <w:rsid w:val="00E3573B"/>
    <w:rsid w:val="00E377E3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7620E-32AC-4179-87D3-ED277E16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10</cp:revision>
  <dcterms:created xsi:type="dcterms:W3CDTF">2024-03-26T06:45:00Z</dcterms:created>
  <dcterms:modified xsi:type="dcterms:W3CDTF">2024-10-11T07:45:00Z</dcterms:modified>
</cp:coreProperties>
</file>